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36DAC15E"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741D0" w:rsidRPr="007741D0">
        <w:rPr>
          <w:rFonts w:ascii="Calibri" w:hAnsi="Calibri"/>
          <w:b/>
          <w:bCs/>
          <w:sz w:val="22"/>
          <w:szCs w:val="22"/>
        </w:rPr>
        <w:t>ORL vyšetřovací jednotka</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6F4E262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326435" w:rsidRPr="00326435">
        <w:rPr>
          <w:rFonts w:ascii="Calibri" w:eastAsia="SimSun" w:hAnsi="Calibri" w:cs="Calibri"/>
          <w:kern w:val="1"/>
          <w:sz w:val="22"/>
          <w:szCs w:val="22"/>
          <w:lang w:eastAsia="hi-IN" w:bidi="hi-IN"/>
        </w:rPr>
        <w:t>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429B8042" w:rsidR="00903214" w:rsidRPr="00903214" w:rsidRDefault="00903214" w:rsidP="00326435">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7741D0" w:rsidRPr="007741D0">
        <w:rPr>
          <w:rFonts w:ascii="Calibri" w:eastAsia="Calibri" w:hAnsi="Calibri" w:cs="Arial"/>
          <w:b/>
          <w:bCs/>
          <w:sz w:val="22"/>
          <w:szCs w:val="22"/>
          <w:lang w:eastAsia="en-US"/>
        </w:rPr>
        <w:t>Pardubická nemocnice, Kyjevská 44, 532 03 Pardubice (ORL)</w:t>
      </w:r>
    </w:p>
    <w:bookmarkEnd w:id="2"/>
    <w:p w14:paraId="6386B664" w14:textId="63BE81AD"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sidR="007741D0">
        <w:rPr>
          <w:rFonts w:ascii="Calibri" w:eastAsia="SimSun" w:hAnsi="Calibri" w:cs="Calibri"/>
          <w:b/>
          <w:bCs/>
          <w:kern w:val="1"/>
          <w:sz w:val="22"/>
          <w:szCs w:val="22"/>
          <w:lang w:eastAsia="hi-IN" w:bidi="hi-IN"/>
        </w:rPr>
        <w:t>12</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DB791F">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403B83B1" w14:textId="523D85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6435"/>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741D0"/>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10</Pages>
  <Words>3346</Words>
  <Characters>19745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30</cp:revision>
  <cp:lastPrinted>2018-10-01T07:59:00Z</cp:lastPrinted>
  <dcterms:created xsi:type="dcterms:W3CDTF">2022-02-09T13:00:00Z</dcterms:created>
  <dcterms:modified xsi:type="dcterms:W3CDTF">2023-05-04T09:34:00Z</dcterms:modified>
</cp:coreProperties>
</file>